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2B587" w14:textId="47C1B37B" w:rsidR="00736DA2" w:rsidRDefault="00AD2D58" w:rsidP="00736DA2">
      <w:pPr>
        <w:rPr>
          <w:rFonts w:ascii="Open Sans" w:hAnsi="Open Sans" w:cs="Open Sans"/>
          <w:i/>
          <w:iCs/>
          <w:color w:val="FF0000"/>
          <w:sz w:val="20"/>
          <w:szCs w:val="20"/>
          <w:lang w:eastAsia="en-US"/>
        </w:rPr>
      </w:pPr>
      <w:bookmarkStart w:id="0" w:name="_GoBack"/>
      <w:bookmarkEnd w:id="0"/>
      <w:r>
        <w:rPr>
          <w:rFonts w:ascii="Open Sans" w:hAnsi="Open Sans" w:cs="Open Sans"/>
          <w:i/>
          <w:iCs/>
          <w:color w:val="FF0000"/>
          <w:sz w:val="20"/>
          <w:szCs w:val="20"/>
          <w:lang w:eastAsia="en-US"/>
        </w:rPr>
        <w:t>Isječak iz Pravilnika o provedbi  izravne potpore i IAKS mjera ruralnog razvoja:</w:t>
      </w:r>
    </w:p>
    <w:p w14:paraId="780AF426" w14:textId="77777777" w:rsidR="00736DA2" w:rsidRDefault="00736DA2" w:rsidP="00736DA2">
      <w:pPr>
        <w:rPr>
          <w:rFonts w:ascii="Open Sans" w:hAnsi="Open Sans" w:cs="Open Sans"/>
          <w:i/>
          <w:iCs/>
          <w:color w:val="2F5496"/>
          <w:sz w:val="20"/>
          <w:szCs w:val="20"/>
          <w:lang w:eastAsia="en-US"/>
        </w:rPr>
      </w:pPr>
    </w:p>
    <w:p w14:paraId="57455C86" w14:textId="77777777" w:rsidR="00736DA2" w:rsidRDefault="00736DA2" w:rsidP="00AD2D58">
      <w:pPr>
        <w:jc w:val="center"/>
        <w:rPr>
          <w:rFonts w:ascii="Open Sans" w:hAnsi="Open Sans" w:cs="Open Sans"/>
          <w:i/>
          <w:iCs/>
          <w:color w:val="2F5496"/>
          <w:sz w:val="20"/>
          <w:szCs w:val="20"/>
          <w:lang w:eastAsia="en-US"/>
        </w:rPr>
      </w:pPr>
      <w:r>
        <w:rPr>
          <w:rFonts w:ascii="Open Sans" w:hAnsi="Open Sans" w:cs="Open Sans"/>
          <w:i/>
          <w:iCs/>
          <w:color w:val="2F5496"/>
          <w:sz w:val="20"/>
          <w:szCs w:val="20"/>
          <w:lang w:eastAsia="en-US"/>
        </w:rPr>
        <w:t>Sustav za nadzor površina (Monitoring)</w:t>
      </w:r>
    </w:p>
    <w:p w14:paraId="1AFB714D" w14:textId="77777777" w:rsidR="00736DA2" w:rsidRDefault="00736DA2" w:rsidP="00736DA2">
      <w:pPr>
        <w:ind w:firstLine="708"/>
        <w:jc w:val="center"/>
        <w:rPr>
          <w:rFonts w:ascii="Open Sans" w:hAnsi="Open Sans" w:cs="Open Sans"/>
          <w:i/>
          <w:iCs/>
          <w:color w:val="2F5496"/>
          <w:sz w:val="20"/>
          <w:szCs w:val="20"/>
          <w:lang w:eastAsia="en-US"/>
        </w:rPr>
      </w:pPr>
      <w:r>
        <w:rPr>
          <w:rFonts w:ascii="Open Sans" w:hAnsi="Open Sans" w:cs="Open Sans"/>
          <w:i/>
          <w:iCs/>
          <w:color w:val="2F5496"/>
          <w:sz w:val="20"/>
          <w:szCs w:val="20"/>
          <w:lang w:eastAsia="en-US"/>
        </w:rPr>
        <w:t>Članak 7.</w:t>
      </w:r>
    </w:p>
    <w:p w14:paraId="3B364AAC"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(1) Sustav za nadzor površina (u daljnjem tekstu: Monitoring) je postupak redovitog i sustavnog opažanja, praćenja i procjene poljoprivrednih djelatnosti i praksi na poljoprivrednim površinama na temelju podataka satelita Sentinel u okviru programa </w:t>
      </w:r>
      <w:proofErr w:type="spellStart"/>
      <w:r>
        <w:rPr>
          <w:rFonts w:ascii="Open Sans" w:hAnsi="Open Sans" w:cs="Open Sans"/>
          <w:i/>
          <w:iCs/>
          <w:color w:val="2F5496"/>
          <w:sz w:val="20"/>
          <w:szCs w:val="20"/>
          <w:lang w:eastAsia="en-US"/>
        </w:rPr>
        <w:t>Copernicus</w:t>
      </w:r>
      <w:proofErr w:type="spellEnd"/>
      <w:r>
        <w:rPr>
          <w:rFonts w:ascii="Open Sans" w:hAnsi="Open Sans" w:cs="Open Sans"/>
          <w:i/>
          <w:iCs/>
          <w:color w:val="2F5496"/>
          <w:sz w:val="20"/>
          <w:szCs w:val="20"/>
          <w:lang w:eastAsia="en-US"/>
        </w:rPr>
        <w:t xml:space="preserve"> i drugih podataka najmanje istovjetne vrijednosti.</w:t>
      </w:r>
    </w:p>
    <w:p w14:paraId="2CDB8F10"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(2) Rezultati Monitoringa služe za praćenje rezultata pojedinih intervencija i pokazatelji su postizanja ciljeva poljoprivredne politike.</w:t>
      </w:r>
    </w:p>
    <w:p w14:paraId="7E0C25D6"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(3) Monitoring identificira i bilježi specifične poljoprivredne aktivnosti i/ili karakteristike usjeva na poljoprivrednoj površini tijekom proizvodne godine, kao što su obrada, košnja, žetva te prati za sve korisnike provođenje uvjeta prihvatljivosti i obveza za intervencije i mjere povezane s površinom.</w:t>
      </w:r>
    </w:p>
    <w:p w14:paraId="33147875"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(4) Za potrebe Monitoringa, smatra se da se uvjet prihvatljivosti može nadzirati ako se može nadzirati na temelju podataka satelita </w:t>
      </w:r>
      <w:proofErr w:type="spellStart"/>
      <w:r>
        <w:rPr>
          <w:rFonts w:ascii="Open Sans" w:hAnsi="Open Sans" w:cs="Open Sans"/>
          <w:i/>
          <w:iCs/>
          <w:color w:val="2F5496"/>
          <w:sz w:val="20"/>
          <w:szCs w:val="20"/>
          <w:lang w:eastAsia="en-US"/>
        </w:rPr>
        <w:t>Sentinel</w:t>
      </w:r>
      <w:proofErr w:type="spellEnd"/>
      <w:r>
        <w:rPr>
          <w:rFonts w:ascii="Open Sans" w:hAnsi="Open Sans" w:cs="Open Sans"/>
          <w:i/>
          <w:iCs/>
          <w:color w:val="2F5496"/>
          <w:sz w:val="20"/>
          <w:szCs w:val="20"/>
          <w:lang w:eastAsia="en-US"/>
        </w:rPr>
        <w:t xml:space="preserve"> iz programa </w:t>
      </w:r>
      <w:proofErr w:type="spellStart"/>
      <w:r>
        <w:rPr>
          <w:rFonts w:ascii="Open Sans" w:hAnsi="Open Sans" w:cs="Open Sans"/>
          <w:i/>
          <w:iCs/>
          <w:color w:val="2F5496"/>
          <w:sz w:val="20"/>
          <w:szCs w:val="20"/>
          <w:lang w:eastAsia="en-US"/>
        </w:rPr>
        <w:t>Copernicus</w:t>
      </w:r>
      <w:proofErr w:type="spellEnd"/>
      <w:r>
        <w:rPr>
          <w:rFonts w:ascii="Open Sans" w:hAnsi="Open Sans" w:cs="Open Sans"/>
          <w:i/>
          <w:iCs/>
          <w:color w:val="2F5496"/>
          <w:sz w:val="20"/>
          <w:szCs w:val="20"/>
          <w:lang w:eastAsia="en-US"/>
        </w:rPr>
        <w:t xml:space="preserve"> (automatska detekcija) i </w:t>
      </w:r>
      <w:proofErr w:type="spellStart"/>
      <w:r>
        <w:rPr>
          <w:rFonts w:ascii="Open Sans" w:hAnsi="Open Sans" w:cs="Open Sans"/>
          <w:i/>
          <w:iCs/>
          <w:color w:val="2F5496"/>
          <w:sz w:val="20"/>
          <w:szCs w:val="20"/>
          <w:lang w:eastAsia="en-US"/>
        </w:rPr>
        <w:t>geotagiranom</w:t>
      </w:r>
      <w:proofErr w:type="spellEnd"/>
      <w:r>
        <w:rPr>
          <w:rFonts w:ascii="Open Sans" w:hAnsi="Open Sans" w:cs="Open Sans"/>
          <w:i/>
          <w:iCs/>
          <w:color w:val="2F5496"/>
          <w:sz w:val="20"/>
          <w:szCs w:val="20"/>
          <w:lang w:eastAsia="en-US"/>
        </w:rPr>
        <w:t xml:space="preserve"> fotografijom ako je obveza dostave propisana za određenu intervenciju/operaciju.</w:t>
      </w:r>
    </w:p>
    <w:p w14:paraId="335DE1C4"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(5) Monitoringom se prati proizvodna godina koja u biljnoj proizvodnji započinje 15. kolovoza prethodne godine i završava 1. listopada tekuće godine.</w:t>
      </w:r>
    </w:p>
    <w:p w14:paraId="33AAFE10"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(6) Kako bi se omogućilo pouzdano opažanje, praćenje i procjena poljoprivrednih aktivnosti i praksi, Monitoring na razini poljoprivrednih parcela ili još detaljnijih prostornih jedinica osigurava utvrđivanje:</w:t>
      </w:r>
    </w:p>
    <w:p w14:paraId="41E167D5"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(a) prisutnosti neprihvatljivih površina, posebno trajnih struktura</w:t>
      </w:r>
    </w:p>
    <w:p w14:paraId="7F591CCF"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(b) prisutnosti neprihvatljivog korištenja zemljišta</w:t>
      </w:r>
    </w:p>
    <w:p w14:paraId="18B32784"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(c) promjene vrste uporabe poljoprivredne površine koje su evidentirane kao obradivo zemljište, trajni nasad ili trajni travnjak.</w:t>
      </w:r>
    </w:p>
    <w:p w14:paraId="2BFF9F3D"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(7) Osnovna namjena Monitoringa su rana upozorenja poljoprivrednika u vezi s ispunjavanjem uvjeta prihvatljivosti i obveza u okviru intervencija propisanih ovim Pravilnikom, koja se komuniciraju s korisnicima putem zaštićene mrežne aplikacije AGRONET.</w:t>
      </w:r>
    </w:p>
    <w:p w14:paraId="088CA80D"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(8) Agencija za plaćanja kao sredstvo komunikacije s korisnicima može koristiti i e-poštu i mobilne tekstualne poruke (SMS).</w:t>
      </w:r>
    </w:p>
    <w:p w14:paraId="1717B9BD"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(9) Rana upozorenja Monitoringom:</w:t>
      </w:r>
    </w:p>
    <w:p w14:paraId="043D5849"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potiču pravovremenost poštivanja uvjeta za intervencije</w:t>
      </w:r>
    </w:p>
    <w:p w14:paraId="4070AD14"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omogućavaju izmjenu/odustajanje od zahtjeva u slučaju nemogućnosti provođenja poljoprivredne aktivnosti ili udovoljavanja nekom drugom uvjetu za potporu.</w:t>
      </w:r>
    </w:p>
    <w:p w14:paraId="3DACB9D3"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(10) Rezultati Monitoringa, odnosno prihvatljivost parcele za pojedinu intervenciju, prikazuju se tijekom proizvodne godine u AGRONET sustavu u obliku »semafora«: zeleno – prihvatljivo, crveno – neprihvatljivo, žuto – podaci za procjenu nisu dostatni.</w:t>
      </w:r>
    </w:p>
    <w:p w14:paraId="26619A29"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(11) U cilju potvrde rezultata automatskog nadzora Monitoringom (crvene parcele) ili smanjenja broja slučajeva s nejasnim rezultatima nadzora (žute parcele), Agencija za plaćanja može provoditi kaskadnu stručnu provjeru u skladu s člankom 10. stavkom 5. Provedbene uredbe Komisije (EU) 2022/1173.</w:t>
      </w:r>
    </w:p>
    <w:p w14:paraId="0963EDD1"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(12) Kaskadna stručna provjera iz stavka 11. ovoga članka predstavlja niz provjera koje provodi stručna osoba Agencije za plaćanja koristeći Sentinel podatke i druge vrste podataka najmanje istovjetne vrijednosti, odnosno podatke drugih satelita iste ili veće rezolucije, digitalne </w:t>
      </w:r>
      <w:proofErr w:type="spellStart"/>
      <w:r>
        <w:rPr>
          <w:rFonts w:ascii="Open Sans" w:hAnsi="Open Sans" w:cs="Open Sans"/>
          <w:i/>
          <w:iCs/>
          <w:color w:val="2F5496"/>
          <w:sz w:val="20"/>
          <w:szCs w:val="20"/>
          <w:lang w:eastAsia="en-US"/>
        </w:rPr>
        <w:t>ortofoto</w:t>
      </w:r>
      <w:proofErr w:type="spellEnd"/>
      <w:r>
        <w:rPr>
          <w:rFonts w:ascii="Open Sans" w:hAnsi="Open Sans" w:cs="Open Sans"/>
          <w:i/>
          <w:iCs/>
          <w:color w:val="2F5496"/>
          <w:sz w:val="20"/>
          <w:szCs w:val="20"/>
          <w:lang w:eastAsia="en-US"/>
        </w:rPr>
        <w:t xml:space="preserve"> snimke, podatke iz drugih baza i evidencija te po potrebi provodi terenske provjere ili zatraži </w:t>
      </w:r>
      <w:proofErr w:type="spellStart"/>
      <w:r>
        <w:rPr>
          <w:rFonts w:ascii="Open Sans" w:hAnsi="Open Sans" w:cs="Open Sans"/>
          <w:i/>
          <w:iCs/>
          <w:color w:val="2F5496"/>
          <w:sz w:val="20"/>
          <w:szCs w:val="20"/>
          <w:lang w:eastAsia="en-US"/>
        </w:rPr>
        <w:t>geotagirane</w:t>
      </w:r>
      <w:proofErr w:type="spellEnd"/>
      <w:r>
        <w:rPr>
          <w:rFonts w:ascii="Open Sans" w:hAnsi="Open Sans" w:cs="Open Sans"/>
          <w:i/>
          <w:iCs/>
          <w:color w:val="2F5496"/>
          <w:sz w:val="20"/>
          <w:szCs w:val="20"/>
          <w:lang w:eastAsia="en-US"/>
        </w:rPr>
        <w:t xml:space="preserve"> fotografiju od korisnika.</w:t>
      </w:r>
    </w:p>
    <w:p w14:paraId="59A71303"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(13) Korisnik je obvezan pratiti rezultate Monitoringa tijekom cijele proizvodne godine putem AGRONET sustava ili može zatražiti pomoć pri pregledu rezultata Monitoringa u podružnicama Agencije za plaćanja.</w:t>
      </w:r>
    </w:p>
    <w:p w14:paraId="79913ABF"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(14) Korisnik pristupa podacima Monitoringa elektronički, putem internetske adrese Agencije za plaćanja – </w:t>
      </w:r>
      <w:hyperlink r:id="rId5" w:history="1">
        <w:r>
          <w:rPr>
            <w:rStyle w:val="Hyperlink"/>
            <w:rFonts w:ascii="Open Sans" w:hAnsi="Open Sans" w:cs="Open Sans"/>
            <w:i/>
            <w:iCs/>
            <w:sz w:val="20"/>
            <w:szCs w:val="20"/>
            <w:lang w:eastAsia="en-US"/>
          </w:rPr>
          <w:t>www.apprrr.hr</w:t>
        </w:r>
      </w:hyperlink>
      <w:r>
        <w:rPr>
          <w:rFonts w:ascii="Open Sans" w:hAnsi="Open Sans" w:cs="Open Sans"/>
          <w:i/>
          <w:iCs/>
          <w:color w:val="2F5496"/>
          <w:sz w:val="20"/>
          <w:szCs w:val="20"/>
          <w:lang w:eastAsia="en-US"/>
        </w:rPr>
        <w:t xml:space="preserve">, koristeći AGRONET / kartica Izravna plaćanja i IAKS mjere ruralnog razvoja, </w:t>
      </w:r>
      <w:r>
        <w:rPr>
          <w:rFonts w:ascii="Open Sans" w:hAnsi="Open Sans" w:cs="Open Sans"/>
          <w:i/>
          <w:iCs/>
          <w:color w:val="2F5496"/>
          <w:sz w:val="20"/>
          <w:szCs w:val="20"/>
          <w:lang w:eastAsia="en-US"/>
        </w:rPr>
        <w:lastRenderedPageBreak/>
        <w:t>na koju se prijavljuje pomoću korisničkog imena i zaporke koje mu izdaje Agencija za plaćanja ili uz pomoć poljoprivredne iskaznice.</w:t>
      </w:r>
    </w:p>
    <w:p w14:paraId="5387975D"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(15) Kao dokaz provedbe određenog uvjeta za intervenciju ili za potrebe kaskadne stručne provjere, </w:t>
      </w:r>
      <w:proofErr w:type="spellStart"/>
      <w:r>
        <w:rPr>
          <w:rFonts w:ascii="Open Sans" w:hAnsi="Open Sans" w:cs="Open Sans"/>
          <w:i/>
          <w:iCs/>
          <w:color w:val="2F5496"/>
          <w:sz w:val="20"/>
          <w:szCs w:val="20"/>
          <w:lang w:eastAsia="en-US"/>
        </w:rPr>
        <w:t>geotagirane</w:t>
      </w:r>
      <w:proofErr w:type="spellEnd"/>
      <w:r>
        <w:rPr>
          <w:rFonts w:ascii="Open Sans" w:hAnsi="Open Sans" w:cs="Open Sans"/>
          <w:i/>
          <w:iCs/>
          <w:color w:val="2F5496"/>
          <w:sz w:val="20"/>
          <w:szCs w:val="20"/>
          <w:lang w:eastAsia="en-US"/>
        </w:rPr>
        <w:t xml:space="preserve"> fotografije mogu prikupljati djelatnici Agencije za plaćanja putem </w:t>
      </w:r>
      <w:proofErr w:type="spellStart"/>
      <w:r>
        <w:rPr>
          <w:rFonts w:ascii="Open Sans" w:hAnsi="Open Sans" w:cs="Open Sans"/>
          <w:i/>
          <w:iCs/>
          <w:color w:val="2F5496"/>
          <w:sz w:val="20"/>
          <w:szCs w:val="20"/>
          <w:lang w:eastAsia="en-US"/>
        </w:rPr>
        <w:t>AgroTP</w:t>
      </w:r>
      <w:proofErr w:type="spellEnd"/>
      <w:r>
        <w:rPr>
          <w:rFonts w:ascii="Open Sans" w:hAnsi="Open Sans" w:cs="Open Sans"/>
          <w:i/>
          <w:iCs/>
          <w:color w:val="2F5496"/>
          <w:sz w:val="20"/>
          <w:szCs w:val="20"/>
          <w:lang w:eastAsia="en-US"/>
        </w:rPr>
        <w:t xml:space="preserve"> mobilne aplikacije, bez najave poljoprivredniku ili mogu zatražiti dostavu </w:t>
      </w:r>
      <w:proofErr w:type="spellStart"/>
      <w:r>
        <w:rPr>
          <w:rFonts w:ascii="Open Sans" w:hAnsi="Open Sans" w:cs="Open Sans"/>
          <w:i/>
          <w:iCs/>
          <w:color w:val="2F5496"/>
          <w:sz w:val="20"/>
          <w:szCs w:val="20"/>
          <w:lang w:eastAsia="en-US"/>
        </w:rPr>
        <w:t>geotagirane</w:t>
      </w:r>
      <w:proofErr w:type="spellEnd"/>
      <w:r>
        <w:rPr>
          <w:rFonts w:ascii="Open Sans" w:hAnsi="Open Sans" w:cs="Open Sans"/>
          <w:i/>
          <w:iCs/>
          <w:color w:val="2F5496"/>
          <w:sz w:val="20"/>
          <w:szCs w:val="20"/>
          <w:lang w:eastAsia="en-US"/>
        </w:rPr>
        <w:t xml:space="preserve"> fotografije od poljoprivrednika putem </w:t>
      </w:r>
      <w:proofErr w:type="spellStart"/>
      <w:r>
        <w:rPr>
          <w:rFonts w:ascii="Open Sans" w:hAnsi="Open Sans" w:cs="Open Sans"/>
          <w:i/>
          <w:iCs/>
          <w:color w:val="2F5496"/>
          <w:sz w:val="20"/>
          <w:szCs w:val="20"/>
          <w:lang w:eastAsia="en-US"/>
        </w:rPr>
        <w:t>AgroGTF</w:t>
      </w:r>
      <w:proofErr w:type="spellEnd"/>
      <w:r>
        <w:rPr>
          <w:rFonts w:ascii="Open Sans" w:hAnsi="Open Sans" w:cs="Open Sans"/>
          <w:i/>
          <w:iCs/>
          <w:color w:val="2F5496"/>
          <w:sz w:val="20"/>
          <w:szCs w:val="20"/>
          <w:lang w:eastAsia="en-US"/>
        </w:rPr>
        <w:t xml:space="preserve"> mobilne aplikacije.</w:t>
      </w:r>
    </w:p>
    <w:p w14:paraId="13C6ACDF"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(16) Zahtjev za dostavu </w:t>
      </w:r>
      <w:proofErr w:type="spellStart"/>
      <w:r>
        <w:rPr>
          <w:rFonts w:ascii="Open Sans" w:hAnsi="Open Sans" w:cs="Open Sans"/>
          <w:i/>
          <w:iCs/>
          <w:color w:val="2F5496"/>
          <w:sz w:val="20"/>
          <w:szCs w:val="20"/>
          <w:lang w:eastAsia="en-US"/>
        </w:rPr>
        <w:t>geotagiranih</w:t>
      </w:r>
      <w:proofErr w:type="spellEnd"/>
      <w:r>
        <w:rPr>
          <w:rFonts w:ascii="Open Sans" w:hAnsi="Open Sans" w:cs="Open Sans"/>
          <w:i/>
          <w:iCs/>
          <w:color w:val="2F5496"/>
          <w:sz w:val="20"/>
          <w:szCs w:val="20"/>
          <w:lang w:eastAsia="en-US"/>
        </w:rPr>
        <w:t xml:space="preserve"> fotografija i rok za dostavu šalje Agencija za plaćanja: </w:t>
      </w:r>
    </w:p>
    <w:p w14:paraId="47E29192"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u procesima  upisa i ažuriranja ARKOD-a sukladno propisu koji definira evidenciju uporabe poljoprivrednog zemljišta;</w:t>
      </w:r>
    </w:p>
    <w:p w14:paraId="59F76E78"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u procesu kaskadnih provjera kada je potrebno dodatno dokazivanje kriterija za potporu od strane poljoprivrednika (razjašnjavanje crvenih i žutih parcela) ili</w:t>
      </w:r>
    </w:p>
    <w:p w14:paraId="0455E909"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 temeljem evidencije poljoprivrednika o aktivnostima na parceli za kriterije za koje je propisano obvezno dokazivanje poljoprivredne aktivnosti/prakse </w:t>
      </w:r>
      <w:proofErr w:type="spellStart"/>
      <w:r>
        <w:rPr>
          <w:rFonts w:ascii="Open Sans" w:hAnsi="Open Sans" w:cs="Open Sans"/>
          <w:i/>
          <w:iCs/>
          <w:color w:val="2F5496"/>
          <w:sz w:val="20"/>
          <w:szCs w:val="20"/>
          <w:lang w:eastAsia="en-US"/>
        </w:rPr>
        <w:t>geotagiranom</w:t>
      </w:r>
      <w:proofErr w:type="spellEnd"/>
      <w:r>
        <w:rPr>
          <w:rFonts w:ascii="Open Sans" w:hAnsi="Open Sans" w:cs="Open Sans"/>
          <w:i/>
          <w:iCs/>
          <w:color w:val="2F5496"/>
          <w:sz w:val="20"/>
          <w:szCs w:val="20"/>
          <w:lang w:eastAsia="en-US"/>
        </w:rPr>
        <w:t xml:space="preserve"> fotografijom. </w:t>
      </w:r>
    </w:p>
    <w:p w14:paraId="6ED99FE9"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 (17) Obavijest o zahtjevu za </w:t>
      </w:r>
      <w:proofErr w:type="spellStart"/>
      <w:r>
        <w:rPr>
          <w:rFonts w:ascii="Open Sans" w:hAnsi="Open Sans" w:cs="Open Sans"/>
          <w:i/>
          <w:iCs/>
          <w:color w:val="2F5496"/>
          <w:sz w:val="20"/>
          <w:szCs w:val="20"/>
          <w:lang w:eastAsia="en-US"/>
        </w:rPr>
        <w:t>geotagiranu</w:t>
      </w:r>
      <w:proofErr w:type="spellEnd"/>
      <w:r>
        <w:rPr>
          <w:rFonts w:ascii="Open Sans" w:hAnsi="Open Sans" w:cs="Open Sans"/>
          <w:i/>
          <w:iCs/>
          <w:color w:val="2F5496"/>
          <w:sz w:val="20"/>
          <w:szCs w:val="20"/>
          <w:lang w:eastAsia="en-US"/>
        </w:rPr>
        <w:t xml:space="preserve"> fotografiju i roku dostave dostavlja se poljoprivredniku putem </w:t>
      </w:r>
      <w:proofErr w:type="spellStart"/>
      <w:r>
        <w:rPr>
          <w:rFonts w:ascii="Open Sans" w:hAnsi="Open Sans" w:cs="Open Sans"/>
          <w:i/>
          <w:iCs/>
          <w:color w:val="2F5496"/>
          <w:sz w:val="20"/>
          <w:szCs w:val="20"/>
          <w:lang w:eastAsia="en-US"/>
        </w:rPr>
        <w:t>AgroGTF</w:t>
      </w:r>
      <w:proofErr w:type="spellEnd"/>
      <w:r>
        <w:rPr>
          <w:rFonts w:ascii="Open Sans" w:hAnsi="Open Sans" w:cs="Open Sans"/>
          <w:i/>
          <w:iCs/>
          <w:color w:val="2F5496"/>
          <w:sz w:val="20"/>
          <w:szCs w:val="20"/>
          <w:lang w:eastAsia="en-US"/>
        </w:rPr>
        <w:t xml:space="preserve"> mobilne aplikacije i putem AGRONET-a – modul Izravna plaćanja i IAKS mjere ruralnog razvoja/Obavijesti.</w:t>
      </w:r>
    </w:p>
    <w:p w14:paraId="2DD89CD7"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(18) Poljoprivrednik putem </w:t>
      </w:r>
      <w:proofErr w:type="spellStart"/>
      <w:r>
        <w:rPr>
          <w:rFonts w:ascii="Open Sans" w:hAnsi="Open Sans" w:cs="Open Sans"/>
          <w:i/>
          <w:iCs/>
          <w:color w:val="2F5496"/>
          <w:sz w:val="20"/>
          <w:szCs w:val="20"/>
          <w:lang w:eastAsia="en-US"/>
        </w:rPr>
        <w:t>AgroGTF</w:t>
      </w:r>
      <w:proofErr w:type="spellEnd"/>
      <w:r>
        <w:rPr>
          <w:rFonts w:ascii="Open Sans" w:hAnsi="Open Sans" w:cs="Open Sans"/>
          <w:i/>
          <w:iCs/>
          <w:color w:val="2F5496"/>
          <w:sz w:val="20"/>
          <w:szCs w:val="20"/>
          <w:lang w:eastAsia="en-US"/>
        </w:rPr>
        <w:t xml:space="preserve"> mobilne aplikacije fotografira parcelu i šalje </w:t>
      </w:r>
      <w:proofErr w:type="spellStart"/>
      <w:r>
        <w:rPr>
          <w:rFonts w:ascii="Open Sans" w:hAnsi="Open Sans" w:cs="Open Sans"/>
          <w:i/>
          <w:iCs/>
          <w:color w:val="2F5496"/>
          <w:sz w:val="20"/>
          <w:szCs w:val="20"/>
          <w:lang w:eastAsia="en-US"/>
        </w:rPr>
        <w:t>geotagiranu</w:t>
      </w:r>
      <w:proofErr w:type="spellEnd"/>
      <w:r>
        <w:rPr>
          <w:rFonts w:ascii="Open Sans" w:hAnsi="Open Sans" w:cs="Open Sans"/>
          <w:i/>
          <w:iCs/>
          <w:color w:val="2F5496"/>
          <w:sz w:val="20"/>
          <w:szCs w:val="20"/>
          <w:lang w:eastAsia="en-US"/>
        </w:rPr>
        <w:t xml:space="preserve"> fotografiju Agenciji za plaćanja.</w:t>
      </w:r>
    </w:p>
    <w:p w14:paraId="6A05ACDC"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(19) </w:t>
      </w:r>
      <w:proofErr w:type="spellStart"/>
      <w:r>
        <w:rPr>
          <w:rFonts w:ascii="Open Sans" w:hAnsi="Open Sans" w:cs="Open Sans"/>
          <w:i/>
          <w:iCs/>
          <w:color w:val="2F5496"/>
          <w:sz w:val="20"/>
          <w:szCs w:val="20"/>
          <w:lang w:eastAsia="en-US"/>
        </w:rPr>
        <w:t>AgroGTF</w:t>
      </w:r>
      <w:proofErr w:type="spellEnd"/>
      <w:r>
        <w:rPr>
          <w:rFonts w:ascii="Open Sans" w:hAnsi="Open Sans" w:cs="Open Sans"/>
          <w:i/>
          <w:iCs/>
          <w:color w:val="2F5496"/>
          <w:sz w:val="20"/>
          <w:szCs w:val="20"/>
          <w:lang w:eastAsia="en-US"/>
        </w:rPr>
        <w:t xml:space="preserve"> mobilnu aplikaciju poljoprivrednik preuzima na mobilni uređaj putem Google Play i App Stora i pristupa aplikaciji pomoću istog korisničkog imena i zaporke koji su mu izdani za pristup AGRONET sustavu.</w:t>
      </w:r>
    </w:p>
    <w:p w14:paraId="76C55C12"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(20) Ako poljoprivrednik ne dostavi </w:t>
      </w:r>
      <w:proofErr w:type="spellStart"/>
      <w:r>
        <w:rPr>
          <w:rFonts w:ascii="Open Sans" w:hAnsi="Open Sans" w:cs="Open Sans"/>
          <w:i/>
          <w:iCs/>
          <w:color w:val="2F5496"/>
          <w:sz w:val="20"/>
          <w:szCs w:val="20"/>
          <w:lang w:eastAsia="en-US"/>
        </w:rPr>
        <w:t>geotagiranu</w:t>
      </w:r>
      <w:proofErr w:type="spellEnd"/>
      <w:r>
        <w:rPr>
          <w:rFonts w:ascii="Open Sans" w:hAnsi="Open Sans" w:cs="Open Sans"/>
          <w:i/>
          <w:iCs/>
          <w:color w:val="2F5496"/>
          <w:sz w:val="20"/>
          <w:szCs w:val="20"/>
          <w:lang w:eastAsia="en-US"/>
        </w:rPr>
        <w:t xml:space="preserve"> fotografiju u zadanom roku, koju je Agencija za plaćanja zatražila od korisnika, smatra se da taj uvjet prihvatljivosti za intervenciju nije ispunjen.</w:t>
      </w:r>
    </w:p>
    <w:p w14:paraId="0C6A0AD0"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(21) Korisnik temeljem ranih upozorenja putem Monitoringa (žute ili crvene parcele) može obaviti poljoprivrednu aktivnost ili obvezu, ako rok za provedbu iste još nije istekao, ili na zahtjev Agencije za plaćanja dokazati da je aktivnost obavljena, ili može odustati od zahtjeva </w:t>
      </w:r>
      <w:proofErr w:type="spellStart"/>
      <w:r>
        <w:rPr>
          <w:rFonts w:ascii="Open Sans" w:hAnsi="Open Sans" w:cs="Open Sans"/>
          <w:i/>
          <w:iCs/>
          <w:color w:val="2F5496"/>
          <w:sz w:val="20"/>
          <w:szCs w:val="20"/>
          <w:lang w:eastAsia="en-US"/>
        </w:rPr>
        <w:t>prijesve</w:t>
      </w:r>
      <w:proofErr w:type="spellEnd"/>
      <w:r>
        <w:rPr>
          <w:rFonts w:ascii="Open Sans" w:hAnsi="Open Sans" w:cs="Open Sans"/>
          <w:i/>
          <w:iCs/>
          <w:color w:val="2F5496"/>
          <w:sz w:val="20"/>
          <w:szCs w:val="20"/>
          <w:lang w:eastAsia="en-US"/>
        </w:rPr>
        <w:t xml:space="preserve"> do 1. studenoga u godini podnošenja Jedinstvenog zahtjeva. Odustajanje od zahtjeva nije moguće samo u slučajevima iz članka 12. ovoga Pravilnika.</w:t>
      </w:r>
    </w:p>
    <w:p w14:paraId="5B2D932B"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(22) Monitoring prikazuje informacije o svim relevantnim uvjetima prihvatljivosti za:</w:t>
      </w:r>
    </w:p>
    <w:p w14:paraId="7E73CF01"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obveze Uvjetovanosti iz članka 6. ovoga Pravilnika</w:t>
      </w:r>
    </w:p>
    <w:p w14:paraId="3BD95944"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intervencije za izravna plaćanja</w:t>
      </w:r>
    </w:p>
    <w:p w14:paraId="1C4261F1"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IAKS mjere ruralnog razvoja.</w:t>
      </w:r>
    </w:p>
    <w:p w14:paraId="39B42508"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(23) Tijekom cijele proizvodne godine Agencija za plaćanja provodi vrednovanje automatske detekcije Monitoringa za potrebe poboljšanja i proširenja korištenja sustava, koristeći se </w:t>
      </w:r>
      <w:proofErr w:type="spellStart"/>
      <w:r>
        <w:rPr>
          <w:rFonts w:ascii="Open Sans" w:hAnsi="Open Sans" w:cs="Open Sans"/>
          <w:i/>
          <w:iCs/>
          <w:color w:val="2F5496"/>
          <w:sz w:val="20"/>
          <w:szCs w:val="20"/>
          <w:lang w:eastAsia="en-US"/>
        </w:rPr>
        <w:t>geotagiranim</w:t>
      </w:r>
      <w:proofErr w:type="spellEnd"/>
      <w:r>
        <w:rPr>
          <w:rFonts w:ascii="Open Sans" w:hAnsi="Open Sans" w:cs="Open Sans"/>
          <w:i/>
          <w:iCs/>
          <w:color w:val="2F5496"/>
          <w:sz w:val="20"/>
          <w:szCs w:val="20"/>
          <w:lang w:eastAsia="en-US"/>
        </w:rPr>
        <w:t xml:space="preserve"> fotografijama i podacima s terena, koje prikuplja uz pomoć </w:t>
      </w:r>
      <w:proofErr w:type="spellStart"/>
      <w:r>
        <w:rPr>
          <w:rFonts w:ascii="Open Sans" w:hAnsi="Open Sans" w:cs="Open Sans"/>
          <w:i/>
          <w:iCs/>
          <w:color w:val="2F5496"/>
          <w:sz w:val="20"/>
          <w:szCs w:val="20"/>
          <w:lang w:eastAsia="en-US"/>
        </w:rPr>
        <w:t>AgroTP</w:t>
      </w:r>
      <w:proofErr w:type="spellEnd"/>
      <w:r>
        <w:rPr>
          <w:rFonts w:ascii="Open Sans" w:hAnsi="Open Sans" w:cs="Open Sans"/>
          <w:i/>
          <w:iCs/>
          <w:color w:val="2F5496"/>
          <w:sz w:val="20"/>
          <w:szCs w:val="20"/>
          <w:lang w:eastAsia="en-US"/>
        </w:rPr>
        <w:t xml:space="preserve"> mobilne aplikacije, bez najave korisniku.</w:t>
      </w:r>
    </w:p>
    <w:p w14:paraId="4EFD6C83"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(24) Agencija za plaćanja na godišnjoj razini provodi i obveznu kontrolu kvalitete Monitoringa na način propisan radnim dokumentima i o istom izvješćuje Europsku komisiju.</w:t>
      </w:r>
    </w:p>
    <w:p w14:paraId="6B38B7CD"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(25) Korisnik dopunjuje Monitoring satelitske podatke vođenjem evidencija poljoprivredne aktivnosti/praksi i dostavom </w:t>
      </w:r>
      <w:proofErr w:type="spellStart"/>
      <w:r>
        <w:rPr>
          <w:rFonts w:ascii="Open Sans" w:hAnsi="Open Sans" w:cs="Open Sans"/>
          <w:i/>
          <w:iCs/>
          <w:color w:val="2F5496"/>
          <w:sz w:val="20"/>
          <w:szCs w:val="20"/>
          <w:lang w:eastAsia="en-US"/>
        </w:rPr>
        <w:t>geotagiranih</w:t>
      </w:r>
      <w:proofErr w:type="spellEnd"/>
      <w:r>
        <w:rPr>
          <w:rFonts w:ascii="Open Sans" w:hAnsi="Open Sans" w:cs="Open Sans"/>
          <w:i/>
          <w:iCs/>
          <w:color w:val="2F5496"/>
          <w:sz w:val="20"/>
          <w:szCs w:val="20"/>
          <w:lang w:eastAsia="en-US"/>
        </w:rPr>
        <w:t xml:space="preserve"> fotografija.</w:t>
      </w:r>
    </w:p>
    <w:p w14:paraId="79F027FC" w14:textId="77777777" w:rsidR="00736DA2" w:rsidRDefault="00736DA2" w:rsidP="00736DA2">
      <w:pPr>
        <w:rPr>
          <w:rFonts w:ascii="Open Sans" w:hAnsi="Open Sans" w:cs="Open Sans"/>
          <w:i/>
          <w:iCs/>
          <w:color w:val="2F5496"/>
          <w:sz w:val="20"/>
          <w:szCs w:val="20"/>
          <w:lang w:eastAsia="en-US"/>
        </w:rPr>
      </w:pPr>
      <w:r>
        <w:rPr>
          <w:rFonts w:ascii="Open Sans" w:hAnsi="Open Sans" w:cs="Open Sans"/>
          <w:i/>
          <w:iCs/>
          <w:color w:val="2F5496"/>
          <w:sz w:val="20"/>
          <w:szCs w:val="20"/>
          <w:lang w:eastAsia="en-US"/>
        </w:rPr>
        <w:t xml:space="preserve">(26) Evidencije provođenja poljoprivrednih aktivnosti poljoprivrednik je dužan voditi putem AGRONET sustava ili </w:t>
      </w:r>
      <w:proofErr w:type="spellStart"/>
      <w:r>
        <w:rPr>
          <w:rFonts w:ascii="Open Sans" w:hAnsi="Open Sans" w:cs="Open Sans"/>
          <w:i/>
          <w:iCs/>
          <w:color w:val="2F5496"/>
          <w:sz w:val="20"/>
          <w:szCs w:val="20"/>
          <w:lang w:eastAsia="en-US"/>
        </w:rPr>
        <w:t>AgroGTF</w:t>
      </w:r>
      <w:proofErr w:type="spellEnd"/>
      <w:r>
        <w:rPr>
          <w:rFonts w:ascii="Open Sans" w:hAnsi="Open Sans" w:cs="Open Sans"/>
          <w:i/>
          <w:iCs/>
          <w:color w:val="2F5496"/>
          <w:sz w:val="20"/>
          <w:szCs w:val="20"/>
          <w:lang w:eastAsia="en-US"/>
        </w:rPr>
        <w:t>, u skladu s propisanim uvjetima za intervencije. Do uspostave elektroničkih evidencija korisnik popunjava evidencije u papirnatom obliku kako je propisano za pojedinu intervenciju.</w:t>
      </w:r>
    </w:p>
    <w:p w14:paraId="0D3AD9C6" w14:textId="77777777" w:rsidR="00736DA2" w:rsidRDefault="00736DA2" w:rsidP="00736DA2">
      <w:pPr>
        <w:rPr>
          <w:rFonts w:ascii="Open Sans" w:hAnsi="Open Sans" w:cs="Open Sans"/>
          <w:b/>
          <w:bCs/>
          <w:color w:val="2F5496"/>
          <w:sz w:val="20"/>
          <w:szCs w:val="20"/>
          <w:lang w:eastAsia="en-US"/>
        </w:rPr>
      </w:pPr>
    </w:p>
    <w:p w14:paraId="42B09ACC" w14:textId="77777777" w:rsidR="00FF2DD4" w:rsidRDefault="00FF2DD4"/>
    <w:sectPr w:rsidR="00FF2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8424A"/>
    <w:multiLevelType w:val="hybridMultilevel"/>
    <w:tmpl w:val="B4940B96"/>
    <w:lvl w:ilvl="0" w:tplc="6D8ADF4A">
      <w:numFmt w:val="bullet"/>
      <w:lvlText w:val="-"/>
      <w:lvlJc w:val="left"/>
      <w:pPr>
        <w:ind w:left="720" w:hanging="360"/>
      </w:pPr>
      <w:rPr>
        <w:rFonts w:ascii="Open Sans" w:eastAsia="Calibri" w:hAnsi="Open Sans" w:cs="Open San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EE"/>
    <w:rsid w:val="000D3C8F"/>
    <w:rsid w:val="0046141B"/>
    <w:rsid w:val="00467938"/>
    <w:rsid w:val="0069513D"/>
    <w:rsid w:val="00736DA2"/>
    <w:rsid w:val="008871EE"/>
    <w:rsid w:val="008A6B07"/>
    <w:rsid w:val="00995596"/>
    <w:rsid w:val="00A2322F"/>
    <w:rsid w:val="00AA23C1"/>
    <w:rsid w:val="00AD2D58"/>
    <w:rsid w:val="00EE5B24"/>
    <w:rsid w:val="00FF2D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1BB7"/>
  <w15:chartTrackingRefBased/>
  <w15:docId w15:val="{7AEE92B6-A369-4DE4-86C7-FED125A0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1EE"/>
    <w:pPr>
      <w:spacing w:after="0" w:line="240" w:lineRule="auto"/>
    </w:pPr>
    <w:rPr>
      <w:rFonts w:ascii="Calibri" w:hAnsi="Calibri" w:cs="Calibri"/>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71EE"/>
    <w:rPr>
      <w:color w:val="0563C1"/>
      <w:u w:val="single"/>
    </w:rPr>
  </w:style>
  <w:style w:type="paragraph" w:styleId="ListParagraph">
    <w:name w:val="List Paragraph"/>
    <w:basedOn w:val="Normal"/>
    <w:uiPriority w:val="34"/>
    <w:qFormat/>
    <w:rsid w:val="008871EE"/>
    <w:pPr>
      <w:ind w:left="720"/>
    </w:pPr>
  </w:style>
  <w:style w:type="character" w:styleId="CommentReference">
    <w:name w:val="annotation reference"/>
    <w:basedOn w:val="DefaultParagraphFont"/>
    <w:uiPriority w:val="99"/>
    <w:semiHidden/>
    <w:unhideWhenUsed/>
    <w:rsid w:val="008871EE"/>
    <w:rPr>
      <w:sz w:val="16"/>
      <w:szCs w:val="16"/>
    </w:rPr>
  </w:style>
  <w:style w:type="paragraph" w:styleId="CommentText">
    <w:name w:val="annotation text"/>
    <w:basedOn w:val="Normal"/>
    <w:link w:val="CommentTextChar"/>
    <w:uiPriority w:val="99"/>
    <w:semiHidden/>
    <w:unhideWhenUsed/>
    <w:rsid w:val="008871EE"/>
    <w:rPr>
      <w:sz w:val="20"/>
      <w:szCs w:val="20"/>
    </w:rPr>
  </w:style>
  <w:style w:type="character" w:customStyle="1" w:styleId="CommentTextChar">
    <w:name w:val="Comment Text Char"/>
    <w:basedOn w:val="DefaultParagraphFont"/>
    <w:link w:val="CommentText"/>
    <w:uiPriority w:val="99"/>
    <w:semiHidden/>
    <w:rsid w:val="008871EE"/>
    <w:rPr>
      <w:rFonts w:ascii="Calibri" w:hAnsi="Calibri" w:cs="Calibri"/>
      <w:sz w:val="20"/>
      <w:szCs w:val="20"/>
      <w:lang w:eastAsia="hr-HR"/>
    </w:rPr>
  </w:style>
  <w:style w:type="paragraph" w:styleId="CommentSubject">
    <w:name w:val="annotation subject"/>
    <w:basedOn w:val="CommentText"/>
    <w:next w:val="CommentText"/>
    <w:link w:val="CommentSubjectChar"/>
    <w:uiPriority w:val="99"/>
    <w:semiHidden/>
    <w:unhideWhenUsed/>
    <w:rsid w:val="008871EE"/>
    <w:rPr>
      <w:b/>
      <w:bCs/>
    </w:rPr>
  </w:style>
  <w:style w:type="character" w:customStyle="1" w:styleId="CommentSubjectChar">
    <w:name w:val="Comment Subject Char"/>
    <w:basedOn w:val="CommentTextChar"/>
    <w:link w:val="CommentSubject"/>
    <w:uiPriority w:val="99"/>
    <w:semiHidden/>
    <w:rsid w:val="008871EE"/>
    <w:rPr>
      <w:rFonts w:ascii="Calibri" w:hAnsi="Calibri" w:cs="Calibri"/>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38487">
      <w:bodyDiv w:val="1"/>
      <w:marLeft w:val="0"/>
      <w:marRight w:val="0"/>
      <w:marTop w:val="0"/>
      <w:marBottom w:val="0"/>
      <w:divBdr>
        <w:top w:val="none" w:sz="0" w:space="0" w:color="auto"/>
        <w:left w:val="none" w:sz="0" w:space="0" w:color="auto"/>
        <w:bottom w:val="none" w:sz="0" w:space="0" w:color="auto"/>
        <w:right w:val="none" w:sz="0" w:space="0" w:color="auto"/>
      </w:divBdr>
    </w:div>
    <w:div w:id="603461934">
      <w:bodyDiv w:val="1"/>
      <w:marLeft w:val="0"/>
      <w:marRight w:val="0"/>
      <w:marTop w:val="0"/>
      <w:marBottom w:val="0"/>
      <w:divBdr>
        <w:top w:val="none" w:sz="0" w:space="0" w:color="auto"/>
        <w:left w:val="none" w:sz="0" w:space="0" w:color="auto"/>
        <w:bottom w:val="none" w:sz="0" w:space="0" w:color="auto"/>
        <w:right w:val="none" w:sz="0" w:space="0" w:color="auto"/>
      </w:divBdr>
    </w:div>
    <w:div w:id="107898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prrr.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Bradić</dc:creator>
  <cp:keywords/>
  <dc:description/>
  <cp:lastModifiedBy>Maja Stokanović</cp:lastModifiedBy>
  <cp:revision>3</cp:revision>
  <dcterms:created xsi:type="dcterms:W3CDTF">2024-07-29T10:27:00Z</dcterms:created>
  <dcterms:modified xsi:type="dcterms:W3CDTF">2024-07-29T10:49:00Z</dcterms:modified>
</cp:coreProperties>
</file>